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B8" w:rsidRPr="00604DB8" w:rsidRDefault="00604DB8" w:rsidP="00604DB8">
      <w:pPr>
        <w:spacing w:after="0" w:line="240" w:lineRule="auto"/>
        <w:jc w:val="center"/>
        <w:rPr>
          <w:rFonts w:eastAsia="Times New Roman" w:cs="Times New Roman"/>
          <w:b/>
          <w:bCs/>
          <w:szCs w:val="24"/>
          <w:lang w:eastAsia="es-CO"/>
        </w:rPr>
      </w:pPr>
    </w:p>
    <w:p w:rsidR="00604DB8" w:rsidRPr="00604DB8" w:rsidRDefault="00604DB8" w:rsidP="00604DB8">
      <w:pPr>
        <w:spacing w:after="0" w:line="240" w:lineRule="auto"/>
        <w:jc w:val="center"/>
        <w:rPr>
          <w:rFonts w:eastAsia="Times New Roman" w:cs="Times New Roman"/>
          <w:szCs w:val="24"/>
          <w:lang w:eastAsia="es-CO"/>
        </w:rPr>
      </w:pPr>
      <w:r w:rsidRPr="00604DB8">
        <w:rPr>
          <w:rFonts w:eastAsia="Times New Roman" w:cs="Times New Roman"/>
          <w:b/>
          <w:bCs/>
          <w:szCs w:val="24"/>
          <w:lang w:eastAsia="es-CO"/>
        </w:rPr>
        <w:t>CONCEPTO Nº 008720</w:t>
      </w:r>
    </w:p>
    <w:p w:rsidR="00604DB8" w:rsidRPr="00604DB8" w:rsidRDefault="00604DB8" w:rsidP="00604DB8">
      <w:pPr>
        <w:spacing w:after="0" w:line="240" w:lineRule="auto"/>
        <w:jc w:val="center"/>
        <w:rPr>
          <w:rFonts w:eastAsia="Times New Roman" w:cs="Times New Roman"/>
          <w:szCs w:val="24"/>
          <w:lang w:eastAsia="es-CO"/>
        </w:rPr>
      </w:pPr>
      <w:r w:rsidRPr="00604DB8">
        <w:rPr>
          <w:rFonts w:eastAsia="Times New Roman" w:cs="Times New Roman"/>
          <w:b/>
          <w:bCs/>
          <w:szCs w:val="24"/>
          <w:lang w:eastAsia="es-CO"/>
        </w:rPr>
        <w:t>20-03-2015</w:t>
      </w:r>
    </w:p>
    <w:p w:rsidR="00604DB8" w:rsidRPr="00604DB8" w:rsidRDefault="00604DB8" w:rsidP="00604DB8">
      <w:pPr>
        <w:spacing w:after="0" w:line="240" w:lineRule="auto"/>
        <w:jc w:val="center"/>
        <w:rPr>
          <w:rFonts w:eastAsia="Times New Roman" w:cs="Times New Roman"/>
          <w:szCs w:val="24"/>
          <w:lang w:eastAsia="es-CO"/>
        </w:rPr>
      </w:pPr>
      <w:r w:rsidRPr="00604DB8">
        <w:rPr>
          <w:rFonts w:eastAsia="Times New Roman" w:cs="Times New Roman"/>
          <w:b/>
          <w:bCs/>
          <w:szCs w:val="24"/>
          <w:lang w:eastAsia="es-CO"/>
        </w:rPr>
        <w:t>DIAN</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Dirección de Gestión Jurídica</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Bogotá, D. C.</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100202208-0265</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Referencia</w:t>
      </w:r>
      <w:r w:rsidRPr="00604DB8">
        <w:rPr>
          <w:rFonts w:eastAsia="Times New Roman" w:cs="Times New Roman"/>
          <w:szCs w:val="24"/>
          <w:lang w:eastAsia="es-CO"/>
        </w:rPr>
        <w:t>: Radicado 067887 del 23/01/2015</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De conformidad con el artículo 19 del Decreto número 4048 de 2008, esta Dirección es competente para absolver las consultas escritas que se formulen sobre la interpretación y aplicación de las normas tributarias, aduaneras, o de comercio exterior y control cambiario en lo de competencia de la Dirección de Impuestos y Aduanas Nacionales.</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Tema:</w:t>
      </w:r>
      <w:r w:rsidRPr="00604DB8">
        <w:rPr>
          <w:rFonts w:eastAsia="Times New Roman" w:cs="Times New Roman"/>
          <w:szCs w:val="24"/>
          <w:lang w:eastAsia="es-CO"/>
        </w:rPr>
        <w:t> Retención en la Fuente</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Descriptores:</w:t>
      </w:r>
      <w:r w:rsidRPr="00604DB8">
        <w:rPr>
          <w:rFonts w:eastAsia="Times New Roman" w:cs="Times New Roman"/>
          <w:szCs w:val="24"/>
          <w:lang w:eastAsia="es-CO"/>
        </w:rPr>
        <w:t> Depuración de la Base del Cálculo de la Retención en la Fuente</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Fuentes Formales:</w:t>
      </w:r>
      <w:r w:rsidRPr="00604DB8">
        <w:rPr>
          <w:rFonts w:eastAsia="Times New Roman" w:cs="Times New Roman"/>
          <w:szCs w:val="24"/>
          <w:lang w:eastAsia="es-CO"/>
        </w:rPr>
        <w:t> Artículos </w:t>
      </w:r>
      <w:hyperlink r:id="rId4" w:tooltip="Estatuto Tributario CETA" w:history="1">
        <w:r w:rsidRPr="00604DB8">
          <w:rPr>
            <w:rFonts w:eastAsia="Times New Roman" w:cs="Times New Roman"/>
            <w:szCs w:val="24"/>
            <w:lang w:eastAsia="es-CO"/>
          </w:rPr>
          <w:t>383</w:t>
        </w:r>
      </w:hyperlink>
      <w:r w:rsidRPr="00604DB8">
        <w:rPr>
          <w:rFonts w:eastAsia="Times New Roman" w:cs="Times New Roman"/>
          <w:szCs w:val="24"/>
          <w:lang w:eastAsia="es-CO"/>
        </w:rPr>
        <w:t> y </w:t>
      </w:r>
      <w:hyperlink r:id="rId5" w:tooltip="Estatuto Tributario CETA" w:history="1">
        <w:r w:rsidRPr="00604DB8">
          <w:rPr>
            <w:rFonts w:eastAsia="Times New Roman" w:cs="Times New Roman"/>
            <w:szCs w:val="24"/>
            <w:lang w:eastAsia="es-CO"/>
          </w:rPr>
          <w:t>384</w:t>
        </w:r>
      </w:hyperlink>
      <w:r w:rsidRPr="00604DB8">
        <w:rPr>
          <w:rFonts w:eastAsia="Times New Roman" w:cs="Times New Roman"/>
          <w:szCs w:val="24"/>
          <w:lang w:eastAsia="es-CO"/>
        </w:rPr>
        <w:t> del Estatuto Tributario. Decreto número 1070 de 2013 artículo 2°. Decreto número 0099 de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PROBLEMA JURÍDICO</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¿La depuración de la Base del Cálculo de la Retención en la fuente aplicable a los pagos efectuados a los empleados que se encuentren vinculados mediante una relación laboral, legal o reglamentaria, será la misma para la aplicación del artículo </w:t>
      </w:r>
      <w:hyperlink r:id="rId6" w:tooltip="Estatuto Tributario CETA" w:history="1">
        <w:r w:rsidRPr="00604DB8">
          <w:rPr>
            <w:rFonts w:eastAsia="Times New Roman" w:cs="Times New Roman"/>
            <w:szCs w:val="24"/>
            <w:lang w:eastAsia="es-CO"/>
          </w:rPr>
          <w:t>383</w:t>
        </w:r>
      </w:hyperlink>
      <w:r w:rsidRPr="00604DB8">
        <w:rPr>
          <w:rFonts w:eastAsia="Times New Roman" w:cs="Times New Roman"/>
          <w:szCs w:val="24"/>
          <w:lang w:eastAsia="es-CO"/>
        </w:rPr>
        <w:t> y </w:t>
      </w:r>
      <w:hyperlink r:id="rId7" w:tooltip="Estatuto Tributario CETA" w:history="1">
        <w:r w:rsidRPr="00604DB8">
          <w:rPr>
            <w:rFonts w:eastAsia="Times New Roman" w:cs="Times New Roman"/>
            <w:szCs w:val="24"/>
            <w:lang w:eastAsia="es-CO"/>
          </w:rPr>
          <w:t>384</w:t>
        </w:r>
      </w:hyperlink>
      <w:r w:rsidRPr="00604DB8">
        <w:rPr>
          <w:rFonts w:eastAsia="Times New Roman" w:cs="Times New Roman"/>
          <w:szCs w:val="24"/>
          <w:lang w:eastAsia="es-CO"/>
        </w:rPr>
        <w:t> del Estatuto Tributario?</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TESIS JURÍDICA</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La depuración de la Base del Cálculo de la Retención en la fuente aplicable a los pagos efectuados a los empleados que se encuentren vinculados mediante una relación laboral, legal o reglamentaria, será la que expresamente se consagra en artículos </w:t>
      </w:r>
      <w:hyperlink r:id="rId8" w:tooltip="Estatuto Tributario CETA" w:history="1">
        <w:r w:rsidRPr="00604DB8">
          <w:rPr>
            <w:rFonts w:eastAsia="Times New Roman" w:cs="Times New Roman"/>
            <w:szCs w:val="24"/>
            <w:lang w:eastAsia="es-CO"/>
          </w:rPr>
          <w:t>383</w:t>
        </w:r>
      </w:hyperlink>
      <w:r w:rsidRPr="00604DB8">
        <w:rPr>
          <w:rFonts w:eastAsia="Times New Roman" w:cs="Times New Roman"/>
          <w:szCs w:val="24"/>
          <w:lang w:eastAsia="es-CO"/>
        </w:rPr>
        <w:t> y </w:t>
      </w:r>
      <w:hyperlink r:id="rId9" w:tooltip="Estatuto Tributario CETA" w:history="1">
        <w:r w:rsidRPr="00604DB8">
          <w:rPr>
            <w:rFonts w:eastAsia="Times New Roman" w:cs="Times New Roman"/>
            <w:szCs w:val="24"/>
            <w:lang w:eastAsia="es-CO"/>
          </w:rPr>
          <w:t>384</w:t>
        </w:r>
      </w:hyperlink>
      <w:r w:rsidRPr="00604DB8">
        <w:rPr>
          <w:rFonts w:eastAsia="Times New Roman" w:cs="Times New Roman"/>
          <w:szCs w:val="24"/>
          <w:lang w:eastAsia="es-CO"/>
        </w:rPr>
        <w:t> del Estatuto Tributario y los Decretos Reglamentarios número 1070 de 2013, artículos 2° y 6° respectivamente.</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La respuesta a su interrogante, se encuentra acudiendo a la regla de interpretación consagrada en el artículo 27 del Código Civil, según la cual, cuando el sentido de la ley sea claro, no se desatenderá su tenor literal so pretexto de consultar su espíritu y al tener cada artículo norma especial para la depuración de la base del cálculo de la retención, no habrá lugar a interpretar una depuración diferente.</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La base de retención para la aplicación de la tabla de retención del </w:t>
      </w:r>
      <w:hyperlink r:id="rId10" w:tooltip="Estatuto Tributario CETA" w:history="1">
        <w:r w:rsidRPr="00604DB8">
          <w:rPr>
            <w:rFonts w:eastAsia="Times New Roman" w:cs="Times New Roman"/>
            <w:b/>
            <w:bCs/>
            <w:szCs w:val="24"/>
            <w:lang w:eastAsia="es-CO"/>
          </w:rPr>
          <w:t>artículo 383</w:t>
        </w:r>
      </w:hyperlink>
      <w:r w:rsidRPr="00604DB8">
        <w:rPr>
          <w:rFonts w:eastAsia="Times New Roman" w:cs="Times New Roman"/>
          <w:b/>
          <w:bCs/>
          <w:szCs w:val="24"/>
          <w:lang w:eastAsia="es-CO"/>
        </w:rPr>
        <w:t> del Estatuto Tributario.</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El proceso de determinación de la base gravable para la retención en la fuente para empleados, para la aplicación de la tarifa prevista en el </w:t>
      </w:r>
      <w:hyperlink r:id="rId11" w:tooltip="Estatuto Tributario CETA" w:history="1">
        <w:r w:rsidRPr="00604DB8">
          <w:rPr>
            <w:rFonts w:eastAsia="Times New Roman" w:cs="Times New Roman"/>
            <w:szCs w:val="24"/>
            <w:lang w:eastAsia="es-CO"/>
          </w:rPr>
          <w:t>artículo 383</w:t>
        </w:r>
      </w:hyperlink>
      <w:r w:rsidRPr="00604DB8">
        <w:rPr>
          <w:rFonts w:eastAsia="Times New Roman" w:cs="Times New Roman"/>
          <w:szCs w:val="24"/>
          <w:lang w:eastAsia="es-CO"/>
        </w:rPr>
        <w:t> del E. T., se encuentra en el Decreto Reglamentario número 1070 de 2013 en su artículo 2° así:</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 </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b/>
          <w:bCs/>
          <w:i/>
          <w:iCs/>
          <w:szCs w:val="24"/>
          <w:lang w:eastAsia="es-CO"/>
        </w:rPr>
        <w:t>“Artículo 2°. Depuración de la base del cálculo de la retención en la fuente. </w:t>
      </w:r>
      <w:r w:rsidRPr="00604DB8">
        <w:rPr>
          <w:rFonts w:eastAsia="Times New Roman" w:cs="Times New Roman"/>
          <w:i/>
          <w:iCs/>
          <w:szCs w:val="24"/>
          <w:lang w:eastAsia="es-CO"/>
        </w:rPr>
        <w:t>Para obtener la base de retención en la fuente sobre los pagos o abonos en cuenta por concepto de rentas de trabajo efectuados a las personas naturales pertenecientes a la categoría de empleados, se podrán detraer los siguientes factores:</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lastRenderedPageBreak/>
        <w:t> </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1. Los ingresos que la ley de manera taxativa prevé como no constitutivos de renta ni ganancia ocasional.</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2. Las deducciones a que se refiere el </w:t>
      </w:r>
      <w:hyperlink r:id="rId12" w:tooltip="Estatuto Tributario CETA" w:history="1">
        <w:r w:rsidRPr="00604DB8">
          <w:rPr>
            <w:rFonts w:eastAsia="Times New Roman" w:cs="Times New Roman"/>
            <w:i/>
            <w:iCs/>
            <w:szCs w:val="24"/>
            <w:lang w:eastAsia="es-CO"/>
          </w:rPr>
          <w:t>artículo 387</w:t>
        </w:r>
      </w:hyperlink>
      <w:r w:rsidRPr="00604DB8">
        <w:rPr>
          <w:rFonts w:eastAsia="Times New Roman" w:cs="Times New Roman"/>
          <w:i/>
          <w:iCs/>
          <w:szCs w:val="24"/>
          <w:lang w:eastAsia="es-CO"/>
        </w:rPr>
        <w:t> del Estatuto Tributario, reglamentado por el artículo 2° del Decreto número 0099 de 2013.</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3. Los aportes obligatorios al Sistema General de Seguridad Social en Salud.</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4. Las rentas que la ley de manera taxativa prevé como exentas en razón a su origen y beneficiario. Lo previsto en el numeral 10 del </w:t>
      </w:r>
      <w:hyperlink r:id="rId13" w:tooltip="Estatuto Tributario CETA" w:history="1">
        <w:r w:rsidRPr="00604DB8">
          <w:rPr>
            <w:rFonts w:eastAsia="Times New Roman" w:cs="Times New Roman"/>
            <w:i/>
            <w:iCs/>
            <w:szCs w:val="24"/>
            <w:lang w:eastAsia="es-CO"/>
          </w:rPr>
          <w:t>artículo 206</w:t>
        </w:r>
      </w:hyperlink>
      <w:r w:rsidRPr="00604DB8">
        <w:rPr>
          <w:rFonts w:eastAsia="Times New Roman" w:cs="Times New Roman"/>
          <w:i/>
          <w:iCs/>
          <w:szCs w:val="24"/>
          <w:lang w:eastAsia="es-CO"/>
        </w:rPr>
        <w:t> del Estatuto Tributario procede también para las personas naturales clasificadas en la categoría de empleados cuyos pagos o abonos en cuenta no provengan de una relación laboral, o legal y reglamentaria, de conformidad con lo previsto en el inciso 1° del </w:t>
      </w:r>
      <w:hyperlink r:id="rId14" w:tooltip="Estatuto Tributario CETA" w:history="1">
        <w:r w:rsidRPr="00604DB8">
          <w:rPr>
            <w:rFonts w:eastAsia="Times New Roman" w:cs="Times New Roman"/>
            <w:i/>
            <w:iCs/>
            <w:szCs w:val="24"/>
            <w:lang w:eastAsia="es-CO"/>
          </w:rPr>
          <w:t>artículo 383</w:t>
        </w:r>
      </w:hyperlink>
      <w:r w:rsidRPr="00604DB8">
        <w:rPr>
          <w:rFonts w:eastAsia="Times New Roman" w:cs="Times New Roman"/>
          <w:i/>
          <w:iCs/>
          <w:szCs w:val="24"/>
          <w:lang w:eastAsia="es-CO"/>
        </w:rPr>
        <w:t> del Estatuto Tributario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La Base de retención para aplicación de la tabla de retención mínima del </w:t>
      </w:r>
      <w:hyperlink r:id="rId15" w:tooltip="Estatuto Tributario CETA" w:history="1">
        <w:r w:rsidRPr="00604DB8">
          <w:rPr>
            <w:rFonts w:eastAsia="Times New Roman" w:cs="Times New Roman"/>
            <w:b/>
            <w:bCs/>
            <w:szCs w:val="24"/>
            <w:lang w:eastAsia="es-CO"/>
          </w:rPr>
          <w:t>artículo 384</w:t>
        </w:r>
      </w:hyperlink>
      <w:r w:rsidRPr="00604DB8">
        <w:rPr>
          <w:rFonts w:eastAsia="Times New Roman" w:cs="Times New Roman"/>
          <w:b/>
          <w:bCs/>
          <w:szCs w:val="24"/>
          <w:lang w:eastAsia="es-CO"/>
        </w:rPr>
        <w:t> del Estatuto Tributario:</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El proceso de determinación de la base gravable para la retención en la fuente para empleados, para la aplicación de la tarifa prevista en el </w:t>
      </w:r>
      <w:hyperlink r:id="rId16" w:tooltip="Estatuto Tributario CETA" w:history="1">
        <w:r w:rsidRPr="00604DB8">
          <w:rPr>
            <w:rFonts w:eastAsia="Times New Roman" w:cs="Times New Roman"/>
            <w:szCs w:val="24"/>
            <w:lang w:eastAsia="es-CO"/>
          </w:rPr>
          <w:t>artículo 384</w:t>
        </w:r>
      </w:hyperlink>
      <w:r w:rsidRPr="00604DB8">
        <w:rPr>
          <w:rFonts w:eastAsia="Times New Roman" w:cs="Times New Roman"/>
          <w:szCs w:val="24"/>
          <w:lang w:eastAsia="es-CO"/>
        </w:rPr>
        <w:t> del E. T., se encuentra en el Decreto número 1070 de 2013 artículo 6:</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 </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b/>
          <w:bCs/>
          <w:i/>
          <w:iCs/>
          <w:szCs w:val="24"/>
          <w:lang w:eastAsia="es-CO"/>
        </w:rPr>
        <w:t>“Artículo 6°. Depuración de la Base Gravable de la Retención en la Fuente mínima para empleados. </w:t>
      </w:r>
      <w:r w:rsidRPr="00604DB8">
        <w:rPr>
          <w:rFonts w:eastAsia="Times New Roman" w:cs="Times New Roman"/>
          <w:i/>
          <w:iCs/>
          <w:szCs w:val="24"/>
          <w:lang w:eastAsia="es-CO"/>
        </w:rPr>
        <w:t>Para efectos del cálculo de la retención en la fuente mínima establecida en el </w:t>
      </w:r>
      <w:hyperlink r:id="rId17" w:tooltip="Estatuto Tributario CETA" w:history="1">
        <w:r w:rsidRPr="00604DB8">
          <w:rPr>
            <w:rFonts w:eastAsia="Times New Roman" w:cs="Times New Roman"/>
            <w:i/>
            <w:iCs/>
            <w:szCs w:val="24"/>
            <w:lang w:eastAsia="es-CO"/>
          </w:rPr>
          <w:t>artículo 384</w:t>
        </w:r>
      </w:hyperlink>
      <w:r w:rsidRPr="00604DB8">
        <w:rPr>
          <w:rFonts w:eastAsia="Times New Roman" w:cs="Times New Roman"/>
          <w:i/>
          <w:iCs/>
          <w:szCs w:val="24"/>
          <w:lang w:eastAsia="es-CO"/>
        </w:rPr>
        <w:t> del Estatuto Tributario, para los empleados cuyos ingresos provengan de una relación laboral, o legal y reglamentaria se podrán detraer además los siguientes conceptos:</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 </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a) Los gastos de representación considerados como exentos de Impuesto sobre la Renta, según los requisitos y límites establecidos en el numeral 7 del </w:t>
      </w:r>
      <w:hyperlink r:id="rId18" w:tooltip="Estatuto Tributario CETA" w:history="1">
        <w:r w:rsidRPr="00604DB8">
          <w:rPr>
            <w:rFonts w:eastAsia="Times New Roman" w:cs="Times New Roman"/>
            <w:i/>
            <w:iCs/>
            <w:szCs w:val="24"/>
            <w:lang w:eastAsia="es-CO"/>
          </w:rPr>
          <w:t>artículo 206</w:t>
        </w:r>
      </w:hyperlink>
      <w:r w:rsidRPr="00604DB8">
        <w:rPr>
          <w:rFonts w:eastAsia="Times New Roman" w:cs="Times New Roman"/>
          <w:i/>
          <w:iCs/>
          <w:szCs w:val="24"/>
          <w:lang w:eastAsia="es-CO"/>
        </w:rPr>
        <w:t> del Estatuto Tributario;</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b) El exceso del salario básico de los oficiales y suboficiales de las Fuerzas Militares y la Policía Nacional;</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 xml:space="preserve">c) El pago correspondiente a la licencia de </w:t>
      </w:r>
      <w:proofErr w:type="gramStart"/>
      <w:r w:rsidRPr="00604DB8">
        <w:rPr>
          <w:rFonts w:eastAsia="Times New Roman" w:cs="Times New Roman"/>
          <w:i/>
          <w:iCs/>
          <w:szCs w:val="24"/>
          <w:lang w:eastAsia="es-CO"/>
        </w:rPr>
        <w:t>maternidad …</w:t>
      </w:r>
      <w:proofErr w:type="gramEnd"/>
      <w:r w:rsidRPr="00604DB8">
        <w:rPr>
          <w:rFonts w:eastAsia="Times New Roman" w:cs="Times New Roman"/>
          <w:i/>
          <w:iCs/>
          <w:szCs w:val="24"/>
          <w:lang w:eastAsia="es-CO"/>
        </w:rPr>
        <w:t>”.</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Adicional a los anteriores, se podrá detraer los conceptos previstos en el Decreto Reglamentario número 0099 de 2013 en su artículo 3°, así:</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i/>
          <w:iCs/>
          <w:szCs w:val="24"/>
          <w:lang w:eastAsia="es-CO"/>
        </w:rPr>
        <w:t> </w:t>
      </w:r>
    </w:p>
    <w:p w:rsidR="00604DB8" w:rsidRPr="00604DB8" w:rsidRDefault="00604DB8" w:rsidP="00604DB8">
      <w:pPr>
        <w:spacing w:after="0" w:line="240" w:lineRule="auto"/>
        <w:ind w:left="284"/>
        <w:jc w:val="both"/>
        <w:rPr>
          <w:rFonts w:eastAsia="Times New Roman" w:cs="Times New Roman"/>
          <w:szCs w:val="24"/>
          <w:lang w:eastAsia="es-CO"/>
        </w:rPr>
      </w:pPr>
      <w:r w:rsidRPr="00604DB8">
        <w:rPr>
          <w:rFonts w:eastAsia="Times New Roman" w:cs="Times New Roman"/>
          <w:b/>
          <w:bCs/>
          <w:i/>
          <w:iCs/>
          <w:szCs w:val="24"/>
          <w:lang w:eastAsia="es-CO"/>
        </w:rPr>
        <w:t>“Artículo 3°. Retención en la Fuente mínima para empleados por concepto de rentas de trabajo.</w:t>
      </w:r>
      <w:r w:rsidRPr="00604DB8">
        <w:rPr>
          <w:rFonts w:eastAsia="Times New Roman" w:cs="Times New Roman"/>
          <w:i/>
          <w:iCs/>
          <w:szCs w:val="24"/>
          <w:lang w:eastAsia="es-CO"/>
        </w:rPr>
        <w:t> A partir del 1° de abril de 2013, la retención en la fuente por el concepto de ingreso a que se refiere este decreto, aplicable a las personas naturales pertenecientes a la categoría de empleado a que se refiere el </w:t>
      </w:r>
      <w:hyperlink r:id="rId19" w:tooltip="Estatuto Tributario CETA" w:history="1">
        <w:r w:rsidRPr="00604DB8">
          <w:rPr>
            <w:rFonts w:eastAsia="Times New Roman" w:cs="Times New Roman"/>
            <w:i/>
            <w:iCs/>
            <w:szCs w:val="24"/>
            <w:lang w:eastAsia="es-CO"/>
          </w:rPr>
          <w:t>artículo 329</w:t>
        </w:r>
      </w:hyperlink>
      <w:r w:rsidRPr="00604DB8">
        <w:rPr>
          <w:rFonts w:eastAsia="Times New Roman" w:cs="Times New Roman"/>
          <w:i/>
          <w:iCs/>
          <w:szCs w:val="24"/>
          <w:lang w:eastAsia="es-CO"/>
        </w:rPr>
        <w:t xml:space="preserve">57 (sic) del Estatuto Tributario, obligados a presentar declaración del impuesto sobre la renta, en ningún caso podrá ser inferior al mayor valor mensual de retención que resulte de aplicar la tabla de retención contenida en el artículo 1° de este decreto, o la que resulte de aplicar a los Pagos Mensuales o </w:t>
      </w:r>
      <w:proofErr w:type="spellStart"/>
      <w:r w:rsidRPr="00604DB8">
        <w:rPr>
          <w:rFonts w:eastAsia="Times New Roman" w:cs="Times New Roman"/>
          <w:i/>
          <w:iCs/>
          <w:szCs w:val="24"/>
          <w:lang w:eastAsia="es-CO"/>
        </w:rPr>
        <w:t>Mensualizados</w:t>
      </w:r>
      <w:proofErr w:type="spellEnd"/>
      <w:r w:rsidRPr="00604DB8">
        <w:rPr>
          <w:rFonts w:eastAsia="Times New Roman" w:cs="Times New Roman"/>
          <w:i/>
          <w:iCs/>
          <w:szCs w:val="24"/>
          <w:lang w:eastAsia="es-CO"/>
        </w:rPr>
        <w:t xml:space="preserve"> (PM) la siguiente tabla, a la base de retención en la fuente, determinada al restar los aportes al sistema general de seguridad social (Aportes obligatorios a salud, pensiones y Riesgos Laborales (ARL) a cargo del empleado del total del pago mensual o abono en cuenta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Por lo anterior se revoca el Oficio número 040899 del 10 de julio de 2014.</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Atentamente,</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La Directora de Gestión Jurídica,</w:t>
      </w:r>
    </w:p>
    <w:p w:rsidR="00604DB8" w:rsidRPr="00604DB8" w:rsidRDefault="00604DB8" w:rsidP="00604DB8">
      <w:pPr>
        <w:spacing w:after="0" w:line="240" w:lineRule="auto"/>
        <w:jc w:val="right"/>
        <w:rPr>
          <w:rFonts w:eastAsia="Times New Roman" w:cs="Times New Roman"/>
          <w:szCs w:val="24"/>
          <w:lang w:eastAsia="es-CO"/>
        </w:rPr>
      </w:pPr>
      <w:r w:rsidRPr="00604DB8">
        <w:rPr>
          <w:rFonts w:eastAsia="Times New Roman" w:cs="Times New Roman"/>
          <w:b/>
          <w:bCs/>
          <w:i/>
          <w:i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i/>
          <w:iCs/>
          <w:szCs w:val="24"/>
          <w:lang w:eastAsia="es-CO"/>
        </w:rPr>
        <w:lastRenderedPageBreak/>
        <w:t>Dalila Astrid Hernández Corzo.</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i/>
          <w:i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i/>
          <w:iCs/>
          <w:szCs w:val="24"/>
          <w:lang w:eastAsia="es-CO"/>
        </w:rPr>
        <w:t> </w:t>
      </w:r>
    </w:p>
    <w:p w:rsidR="00604DB8" w:rsidRPr="00604DB8" w:rsidRDefault="00604DB8" w:rsidP="00604DB8">
      <w:pPr>
        <w:spacing w:after="0" w:line="240" w:lineRule="auto"/>
        <w:jc w:val="both"/>
        <w:rPr>
          <w:rFonts w:eastAsia="Times New Roman" w:cs="Times New Roman"/>
          <w:szCs w:val="24"/>
          <w:lang w:eastAsia="es-CO"/>
        </w:rPr>
      </w:pPr>
      <w:r w:rsidRPr="00604DB8">
        <w:rPr>
          <w:rFonts w:eastAsia="Times New Roman" w:cs="Times New Roman"/>
          <w:b/>
          <w:bCs/>
          <w:szCs w:val="24"/>
          <w:lang w:eastAsia="es-CO"/>
        </w:rPr>
        <w:t>Publicado en D.O. 49.481 del 13 de abril de 2015.</w:t>
      </w:r>
    </w:p>
    <w:p w:rsidR="00604DB8" w:rsidRDefault="00604DB8" w:rsidP="00604DB8">
      <w:pPr>
        <w:pBdr>
          <w:bottom w:val="single" w:sz="12" w:space="1" w:color="auto"/>
        </w:pBdr>
        <w:spacing w:after="285" w:line="240" w:lineRule="auto"/>
        <w:jc w:val="both"/>
        <w:rPr>
          <w:rFonts w:eastAsia="Times New Roman" w:cs="Times New Roman"/>
          <w:szCs w:val="24"/>
          <w:lang w:eastAsia="es-CO"/>
        </w:rPr>
      </w:pPr>
      <w:r w:rsidRPr="00604DB8">
        <w:rPr>
          <w:rFonts w:eastAsia="Times New Roman" w:cs="Times New Roman"/>
          <w:szCs w:val="24"/>
          <w:lang w:eastAsia="es-CO"/>
        </w:rPr>
        <w:t> </w:t>
      </w:r>
    </w:p>
    <w:p w:rsidR="003B53E9" w:rsidRPr="0047434F" w:rsidRDefault="003B53E9" w:rsidP="00604DB8">
      <w:pPr>
        <w:spacing w:after="285" w:line="240" w:lineRule="auto"/>
        <w:jc w:val="both"/>
        <w:rPr>
          <w:rFonts w:eastAsia="Times New Roman" w:cs="Times New Roman"/>
          <w:b/>
          <w:szCs w:val="24"/>
          <w:lang w:eastAsia="es-CO"/>
        </w:rPr>
      </w:pPr>
      <w:r w:rsidRPr="0047434F">
        <w:rPr>
          <w:rFonts w:eastAsia="Times New Roman" w:cs="Times New Roman"/>
          <w:b/>
          <w:szCs w:val="24"/>
          <w:lang w:eastAsia="es-CO"/>
        </w:rPr>
        <w:t xml:space="preserve">TEXTO DEL OFICIO REVOCADO: </w:t>
      </w:r>
    </w:p>
    <w:p w:rsidR="003B53E9" w:rsidRDefault="003B53E9" w:rsidP="003B53E9">
      <w:pPr>
        <w:spacing w:after="0" w:line="240" w:lineRule="auto"/>
        <w:jc w:val="center"/>
        <w:rPr>
          <w:rFonts w:ascii="Segoe UI" w:eastAsia="Times New Roman" w:hAnsi="Segoe UI" w:cs="Segoe UI"/>
          <w:b/>
          <w:bCs/>
          <w:color w:val="0000FF"/>
          <w:sz w:val="28"/>
          <w:szCs w:val="28"/>
          <w:lang w:eastAsia="es-CO"/>
        </w:rPr>
      </w:pPr>
    </w:p>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b/>
          <w:bCs/>
          <w:szCs w:val="24"/>
          <w:lang w:eastAsia="es-CO"/>
        </w:rPr>
        <w:t>OFICIO N° 040899</w:t>
      </w:r>
      <w:bookmarkStart w:id="0" w:name="_GoBack"/>
      <w:bookmarkEnd w:id="0"/>
    </w:p>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b/>
          <w:bCs/>
          <w:szCs w:val="24"/>
          <w:lang w:eastAsia="es-CO"/>
        </w:rPr>
        <w:t>10-07-2014</w:t>
      </w:r>
    </w:p>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b/>
          <w:bCs/>
          <w:szCs w:val="24"/>
          <w:lang w:eastAsia="es-CO"/>
        </w:rPr>
        <w:t>DIAN</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Dirección de Gestión Jurídica</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Bogotá, D.C.</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100202208- 000533</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Doctor</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JAIRO CONTRERAS ARCINIEGAS</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Director General De Servicios Financieros</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Banco de la República</w:t>
      </w:r>
    </w:p>
    <w:p w:rsidR="003B53E9" w:rsidRPr="003B53E9" w:rsidRDefault="003B53E9" w:rsidP="003B53E9">
      <w:pPr>
        <w:spacing w:after="0" w:line="240" w:lineRule="auto"/>
        <w:jc w:val="both"/>
        <w:rPr>
          <w:rFonts w:eastAsia="Times New Roman" w:cs="Times New Roman"/>
          <w:szCs w:val="24"/>
          <w:lang w:eastAsia="es-CO"/>
        </w:rPr>
      </w:pPr>
      <w:proofErr w:type="spellStart"/>
      <w:r w:rsidRPr="003B53E9">
        <w:rPr>
          <w:rFonts w:eastAsia="Times New Roman" w:cs="Times New Roman"/>
          <w:szCs w:val="24"/>
          <w:lang w:eastAsia="es-CO"/>
        </w:rPr>
        <w:t>Cra</w:t>
      </w:r>
      <w:proofErr w:type="spellEnd"/>
      <w:r w:rsidRPr="003B53E9">
        <w:rPr>
          <w:rFonts w:eastAsia="Times New Roman" w:cs="Times New Roman"/>
          <w:szCs w:val="24"/>
          <w:lang w:eastAsia="es-CO"/>
        </w:rPr>
        <w:t xml:space="preserve"> 7 No. 14 – 78 piso 3</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Bogotá</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proofErr w:type="spellStart"/>
      <w:r w:rsidRPr="003B53E9">
        <w:rPr>
          <w:rFonts w:eastAsia="Times New Roman" w:cs="Times New Roman"/>
          <w:b/>
          <w:bCs/>
          <w:szCs w:val="24"/>
          <w:lang w:eastAsia="es-CO"/>
        </w:rPr>
        <w:t>Ref</w:t>
      </w:r>
      <w:proofErr w:type="spellEnd"/>
      <w:r w:rsidRPr="003B53E9">
        <w:rPr>
          <w:rFonts w:eastAsia="Times New Roman" w:cs="Times New Roman"/>
          <w:b/>
          <w:bCs/>
          <w:szCs w:val="24"/>
          <w:lang w:eastAsia="es-CO"/>
        </w:rPr>
        <w:t>: </w:t>
      </w:r>
      <w:r w:rsidRPr="003B53E9">
        <w:rPr>
          <w:rFonts w:eastAsia="Times New Roman" w:cs="Times New Roman"/>
          <w:szCs w:val="24"/>
          <w:lang w:eastAsia="es-CO"/>
        </w:rPr>
        <w:t>Radicado 24990 del 22/04/2014</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Tema: </w:t>
      </w:r>
      <w:r w:rsidRPr="003B53E9">
        <w:rPr>
          <w:rFonts w:eastAsia="Times New Roman" w:cs="Times New Roman"/>
          <w:szCs w:val="24"/>
          <w:lang w:eastAsia="es-CO"/>
        </w:rPr>
        <w:t>Retención en la Fuente</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Descriptores: </w:t>
      </w:r>
      <w:r w:rsidRPr="003B53E9">
        <w:rPr>
          <w:rFonts w:eastAsia="Times New Roman" w:cs="Times New Roman"/>
          <w:szCs w:val="24"/>
          <w:lang w:eastAsia="es-CO"/>
        </w:rPr>
        <w:t>Cesantías</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Fuentes Formales: </w:t>
      </w:r>
      <w:r w:rsidRPr="003B53E9">
        <w:rPr>
          <w:rFonts w:eastAsia="Times New Roman" w:cs="Times New Roman"/>
          <w:szCs w:val="24"/>
          <w:lang w:eastAsia="es-CO"/>
        </w:rPr>
        <w:t>Artículo </w:t>
      </w:r>
      <w:hyperlink r:id="rId20" w:tooltip="Estatuto Tributario CETA" w:history="1">
        <w:r w:rsidRPr="003B53E9">
          <w:rPr>
            <w:rFonts w:eastAsia="Times New Roman" w:cs="Times New Roman"/>
            <w:szCs w:val="24"/>
            <w:lang w:eastAsia="es-CO"/>
          </w:rPr>
          <w:t>206</w:t>
        </w:r>
      </w:hyperlink>
      <w:r w:rsidRPr="003B53E9">
        <w:rPr>
          <w:rFonts w:eastAsia="Times New Roman" w:cs="Times New Roman"/>
          <w:szCs w:val="24"/>
          <w:lang w:eastAsia="es-CO"/>
        </w:rPr>
        <w:t>, </w:t>
      </w:r>
      <w:hyperlink r:id="rId21" w:tooltip="Estatuto Tributario CETA" w:history="1">
        <w:r w:rsidRPr="003B53E9">
          <w:rPr>
            <w:rFonts w:eastAsia="Times New Roman" w:cs="Times New Roman"/>
            <w:szCs w:val="24"/>
            <w:lang w:eastAsia="es-CO"/>
          </w:rPr>
          <w:t>383</w:t>
        </w:r>
      </w:hyperlink>
      <w:r w:rsidRPr="003B53E9">
        <w:rPr>
          <w:rFonts w:eastAsia="Times New Roman" w:cs="Times New Roman"/>
          <w:szCs w:val="24"/>
          <w:lang w:eastAsia="es-CO"/>
        </w:rPr>
        <w:t> y </w:t>
      </w:r>
      <w:hyperlink r:id="rId22" w:tooltip="Estatuto Tributario CETA" w:history="1">
        <w:r w:rsidRPr="003B53E9">
          <w:rPr>
            <w:rFonts w:eastAsia="Times New Roman" w:cs="Times New Roman"/>
            <w:szCs w:val="24"/>
            <w:lang w:eastAsia="es-CO"/>
          </w:rPr>
          <w:t>384</w:t>
        </w:r>
      </w:hyperlink>
      <w:r w:rsidRPr="003B53E9">
        <w:rPr>
          <w:rFonts w:eastAsia="Times New Roman" w:cs="Times New Roman"/>
          <w:szCs w:val="24"/>
          <w:lang w:eastAsia="es-CO"/>
        </w:rPr>
        <w:t> del Estatuto Tributario</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PROBLEMA JURÍDICO</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Plantea el consultante el siguiente problema jurídico:</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szCs w:val="24"/>
          <w:lang w:eastAsia="es-CO"/>
        </w:rPr>
        <w:t>1. De conformidad con el </w:t>
      </w:r>
      <w:hyperlink r:id="rId23" w:tooltip="Estatuto Tributario CETA" w:history="1">
        <w:r w:rsidRPr="003B53E9">
          <w:rPr>
            <w:rFonts w:eastAsia="Times New Roman" w:cs="Times New Roman"/>
            <w:szCs w:val="24"/>
            <w:lang w:eastAsia="es-CO"/>
          </w:rPr>
          <w:t>artículo 384</w:t>
        </w:r>
      </w:hyperlink>
      <w:r w:rsidRPr="003B53E9">
        <w:rPr>
          <w:rFonts w:eastAsia="Times New Roman" w:cs="Times New Roman"/>
          <w:szCs w:val="24"/>
          <w:lang w:eastAsia="es-CO"/>
        </w:rPr>
        <w:t> del E.T., adicionado por el artículo 14 de la Ley 1607 de 2012, el pago de cesantías e intereses de las mismas que efectúa directamente el empleador al trabajador se debe tener en cuenta como pago mensual para efectos de determinar la tarifa mínima de retención en la fuente</w:t>
      </w:r>
      <w:proofErr w:type="gramStart"/>
      <w:r w:rsidRPr="003B53E9">
        <w:rPr>
          <w:rFonts w:eastAsia="Times New Roman" w:cs="Times New Roman"/>
          <w:szCs w:val="24"/>
          <w:lang w:eastAsia="es-CO"/>
        </w:rPr>
        <w:t>?</w:t>
      </w:r>
      <w:proofErr w:type="gramEnd"/>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SOLUCIÓN AL PROBLEMA JURÍDICO</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1.1. Base de retención para la aplicación de la tabla de retención del </w:t>
      </w:r>
      <w:hyperlink r:id="rId24" w:tooltip="Estatuto Tributario CETA" w:history="1">
        <w:r w:rsidRPr="003B53E9">
          <w:rPr>
            <w:rFonts w:eastAsia="Times New Roman" w:cs="Times New Roman"/>
            <w:b/>
            <w:bCs/>
            <w:szCs w:val="24"/>
            <w:lang w:eastAsia="es-CO"/>
          </w:rPr>
          <w:t>artículo 383</w:t>
        </w:r>
      </w:hyperlink>
      <w:r w:rsidRPr="003B53E9">
        <w:rPr>
          <w:rFonts w:eastAsia="Times New Roman" w:cs="Times New Roman"/>
          <w:b/>
          <w:bCs/>
          <w:szCs w:val="24"/>
          <w:lang w:eastAsia="es-CO"/>
        </w:rPr>
        <w:t> del E.T.</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El proceso de determinación de la base gravable para la retención en la fuente para empleados, para la aplicación de la tarifa prevista en el </w:t>
      </w:r>
      <w:hyperlink r:id="rId25" w:tooltip="Estatuto Tributario CETA" w:history="1">
        <w:r w:rsidRPr="003B53E9">
          <w:rPr>
            <w:rFonts w:eastAsia="Times New Roman" w:cs="Times New Roman"/>
            <w:szCs w:val="24"/>
            <w:lang w:eastAsia="es-CO"/>
          </w:rPr>
          <w:t>artículo 383</w:t>
        </w:r>
      </w:hyperlink>
      <w:r w:rsidRPr="003B53E9">
        <w:rPr>
          <w:rFonts w:eastAsia="Times New Roman" w:cs="Times New Roman"/>
          <w:szCs w:val="24"/>
          <w:lang w:eastAsia="es-CO"/>
        </w:rPr>
        <w:t> del E.T., se encuentra en el Decreto Reglamentario 1070 de 2013 en su artículo 2 así:</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b/>
          <w:bCs/>
          <w:i/>
          <w:iCs/>
          <w:szCs w:val="24"/>
          <w:lang w:eastAsia="es-CO"/>
        </w:rPr>
        <w:t>“ARTÍCULO 2. Depuración de la base del cálculo de la retención en la fuente. </w:t>
      </w:r>
      <w:r w:rsidRPr="003B53E9">
        <w:rPr>
          <w:rFonts w:eastAsia="Times New Roman" w:cs="Times New Roman"/>
          <w:i/>
          <w:iCs/>
          <w:szCs w:val="24"/>
          <w:lang w:eastAsia="es-CO"/>
        </w:rPr>
        <w:t>Para obtener la base de retención en la fuente sobre los pagos o abonos en cuenta por concepto de rentas de trabajo efectuados a las personas naturales pertenecientes a la categoría de empleados, se podrán detraer los siguientes factores:</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lastRenderedPageBreak/>
        <w:t> </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1- Los ingresos que la ley de manera taxativa prevé como no constitutivos de renta ni ganancia ocasional.</w:t>
      </w:r>
    </w:p>
    <w:p w:rsidR="000E647F" w:rsidRDefault="000E647F" w:rsidP="003B53E9">
      <w:pPr>
        <w:spacing w:after="0" w:line="240" w:lineRule="auto"/>
        <w:ind w:left="284"/>
        <w:jc w:val="both"/>
        <w:rPr>
          <w:rFonts w:eastAsia="Times New Roman" w:cs="Times New Roman"/>
          <w:i/>
          <w:iCs/>
          <w:szCs w:val="24"/>
          <w:lang w:eastAsia="es-CO"/>
        </w:rPr>
      </w:pP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2- </w:t>
      </w:r>
      <w:r w:rsidRPr="003B53E9">
        <w:rPr>
          <w:rFonts w:eastAsia="Times New Roman" w:cs="Times New Roman"/>
          <w:i/>
          <w:iCs/>
          <w:szCs w:val="24"/>
          <w:u w:val="single"/>
          <w:lang w:eastAsia="es-CO"/>
        </w:rPr>
        <w:t>Las deducciones a que se refiere el </w:t>
      </w:r>
      <w:hyperlink r:id="rId26" w:tooltip="Estatuto Tributario CETA" w:history="1">
        <w:r w:rsidRPr="003B53E9">
          <w:rPr>
            <w:rFonts w:eastAsia="Times New Roman" w:cs="Times New Roman"/>
            <w:i/>
            <w:iCs/>
            <w:szCs w:val="24"/>
            <w:lang w:eastAsia="es-CO"/>
          </w:rPr>
          <w:t>artículo 387</w:t>
        </w:r>
      </w:hyperlink>
      <w:r w:rsidRPr="003B53E9">
        <w:rPr>
          <w:rFonts w:eastAsia="Times New Roman" w:cs="Times New Roman"/>
          <w:i/>
          <w:iCs/>
          <w:szCs w:val="24"/>
          <w:u w:val="single"/>
          <w:lang w:eastAsia="es-CO"/>
        </w:rPr>
        <w:t> del Estatuto Tributario, reglamentado por el artículo 2° del Decreto 0099 de 2013</w:t>
      </w:r>
      <w:r w:rsidRPr="003B53E9">
        <w:rPr>
          <w:rFonts w:eastAsia="Times New Roman" w:cs="Times New Roman"/>
          <w:i/>
          <w:iCs/>
          <w:szCs w:val="24"/>
          <w:lang w:eastAsia="es-CO"/>
        </w:rPr>
        <w:t>.</w:t>
      </w:r>
    </w:p>
    <w:p w:rsidR="000E647F" w:rsidRDefault="000E647F" w:rsidP="003B53E9">
      <w:pPr>
        <w:spacing w:after="0" w:line="240" w:lineRule="auto"/>
        <w:ind w:left="284"/>
        <w:jc w:val="both"/>
        <w:rPr>
          <w:rFonts w:eastAsia="Times New Roman" w:cs="Times New Roman"/>
          <w:i/>
          <w:iCs/>
          <w:szCs w:val="24"/>
          <w:lang w:eastAsia="es-CO"/>
        </w:rPr>
      </w:pP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3- </w:t>
      </w:r>
      <w:r w:rsidRPr="003B53E9">
        <w:rPr>
          <w:rFonts w:eastAsia="Times New Roman" w:cs="Times New Roman"/>
          <w:i/>
          <w:iCs/>
          <w:szCs w:val="24"/>
          <w:u w:val="single"/>
          <w:lang w:eastAsia="es-CO"/>
        </w:rPr>
        <w:t>Los aportes obligatorio al Sistema General de Seguridad Social en Salud</w:t>
      </w:r>
      <w:r w:rsidRPr="003B53E9">
        <w:rPr>
          <w:rFonts w:eastAsia="Times New Roman" w:cs="Times New Roman"/>
          <w:i/>
          <w:iCs/>
          <w:szCs w:val="24"/>
          <w:lang w:eastAsia="es-CO"/>
        </w:rPr>
        <w:t>.</w:t>
      </w:r>
    </w:p>
    <w:p w:rsidR="000E647F" w:rsidRDefault="000E647F" w:rsidP="003B53E9">
      <w:pPr>
        <w:spacing w:after="0" w:line="240" w:lineRule="auto"/>
        <w:ind w:left="284"/>
        <w:jc w:val="both"/>
        <w:rPr>
          <w:rFonts w:eastAsia="Times New Roman" w:cs="Times New Roman"/>
          <w:i/>
          <w:iCs/>
          <w:szCs w:val="24"/>
          <w:lang w:eastAsia="es-CO"/>
        </w:rPr>
      </w:pP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4- </w:t>
      </w:r>
      <w:r w:rsidRPr="003B53E9">
        <w:rPr>
          <w:rFonts w:eastAsia="Times New Roman" w:cs="Times New Roman"/>
          <w:i/>
          <w:iCs/>
          <w:szCs w:val="24"/>
          <w:u w:val="single"/>
          <w:lang w:eastAsia="es-CO"/>
        </w:rPr>
        <w:t>Las rentas que la ley de manera taxativa prevé como exentas en razón a su origen y beneficiario. Lo previsto en el numeral 10 del </w:t>
      </w:r>
      <w:hyperlink r:id="rId27" w:tooltip="Estatuto Tributario CETA" w:history="1">
        <w:r w:rsidRPr="003B53E9">
          <w:rPr>
            <w:rFonts w:eastAsia="Times New Roman" w:cs="Times New Roman"/>
            <w:i/>
            <w:iCs/>
            <w:szCs w:val="24"/>
            <w:lang w:eastAsia="es-CO"/>
          </w:rPr>
          <w:t>artículo 206</w:t>
        </w:r>
      </w:hyperlink>
      <w:r w:rsidRPr="003B53E9">
        <w:rPr>
          <w:rFonts w:eastAsia="Times New Roman" w:cs="Times New Roman"/>
          <w:i/>
          <w:iCs/>
          <w:szCs w:val="24"/>
          <w:u w:val="single"/>
          <w:lang w:eastAsia="es-CO"/>
        </w:rPr>
        <w:t> del Estatuto Tributario procede también para las personas naturales clasificadas en la categoría de empleados cuyos pagos o abonos en cuenta no provengan de una relación laboral, o legal y reglamentaria, de conformidad con lo previsto en el inciso 1 del artículo 383 del Estatuto Tributario</w:t>
      </w:r>
      <w:r w:rsidRPr="003B53E9">
        <w:rPr>
          <w:rFonts w:eastAsia="Times New Roman" w:cs="Times New Roman"/>
          <w:i/>
          <w:iCs/>
          <w:szCs w:val="24"/>
          <w:lang w:eastAsia="es-CO"/>
        </w:rPr>
        <w:t>.</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 </w:t>
      </w:r>
      <w:r w:rsidRPr="003B53E9">
        <w:rPr>
          <w:rFonts w:eastAsia="Times New Roman" w:cs="Times New Roman"/>
          <w:szCs w:val="24"/>
          <w:lang w:eastAsia="es-CO"/>
        </w:rPr>
        <w:t>(</w:t>
      </w:r>
      <w:proofErr w:type="gramStart"/>
      <w:r w:rsidRPr="003B53E9">
        <w:rPr>
          <w:rFonts w:eastAsia="Times New Roman" w:cs="Times New Roman"/>
          <w:szCs w:val="24"/>
          <w:lang w:eastAsia="es-CO"/>
        </w:rPr>
        <w:t>subrayado</w:t>
      </w:r>
      <w:proofErr w:type="gramEnd"/>
      <w:r w:rsidRPr="003B53E9">
        <w:rPr>
          <w:rFonts w:eastAsia="Times New Roman" w:cs="Times New Roman"/>
          <w:szCs w:val="24"/>
          <w:lang w:eastAsia="es-CO"/>
        </w:rPr>
        <w:t xml:space="preserve"> fuera de texto).</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Es así, que no sobra aclarar que el </w:t>
      </w:r>
      <w:hyperlink r:id="rId28" w:tooltip="Estatuto Tributario CETA" w:history="1">
        <w:r w:rsidRPr="003B53E9">
          <w:rPr>
            <w:rFonts w:eastAsia="Times New Roman" w:cs="Times New Roman"/>
            <w:szCs w:val="24"/>
            <w:lang w:eastAsia="es-CO"/>
          </w:rPr>
          <w:t>artículo 206</w:t>
        </w:r>
      </w:hyperlink>
      <w:r w:rsidRPr="003B53E9">
        <w:rPr>
          <w:rFonts w:eastAsia="Times New Roman" w:cs="Times New Roman"/>
          <w:szCs w:val="24"/>
          <w:lang w:eastAsia="es-CO"/>
        </w:rPr>
        <w:t> dispone como renta exenta en su artículo (sic) 4 lo siguiente:</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 4. El auxilio de cesantía y los intereses sobre cesantías, siempre y cuando sean recibidos por trabajadores cuyo ingreso mensual promedio en los seis (6) últimos meses de vinculación laboral no exceda de 350 UVT.*</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 </w:t>
      </w:r>
    </w:p>
    <w:p w:rsidR="003B53E9" w:rsidRPr="003B53E9" w:rsidRDefault="003B53E9" w:rsidP="003B53E9">
      <w:pPr>
        <w:spacing w:after="0" w:line="240" w:lineRule="auto"/>
        <w:ind w:left="284"/>
        <w:jc w:val="both"/>
        <w:rPr>
          <w:rFonts w:eastAsia="Times New Roman" w:cs="Times New Roman"/>
          <w:szCs w:val="24"/>
          <w:lang w:eastAsia="es-CO"/>
        </w:rPr>
      </w:pPr>
      <w:r w:rsidRPr="003B53E9">
        <w:rPr>
          <w:rFonts w:eastAsia="Times New Roman" w:cs="Times New Roman"/>
          <w:i/>
          <w:iCs/>
          <w:szCs w:val="24"/>
          <w:lang w:eastAsia="es-CO"/>
        </w:rPr>
        <w:t>Cuando el salario mensual promedio a que se refiere este numeral exceda de 350 UVT* la parte no gravada se determinará así:</w:t>
      </w:r>
    </w:p>
    <w:p w:rsidR="003B53E9" w:rsidRPr="003B53E9" w:rsidRDefault="003B53E9" w:rsidP="003B53E9">
      <w:pPr>
        <w:spacing w:after="0" w:line="240" w:lineRule="auto"/>
        <w:ind w:left="284"/>
        <w:jc w:val="center"/>
        <w:rPr>
          <w:rFonts w:eastAsia="Times New Roman" w:cs="Times New Roman"/>
          <w:szCs w:val="24"/>
          <w:lang w:eastAsia="es-CO"/>
        </w:rPr>
      </w:pPr>
      <w:r w:rsidRPr="003B53E9">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2816"/>
        <w:gridCol w:w="1950"/>
      </w:tblGrid>
      <w:tr w:rsidR="003B53E9" w:rsidRPr="003B53E9" w:rsidTr="003B53E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Salario Mensual Promedio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Parte No gravada</w:t>
            </w:r>
          </w:p>
        </w:tc>
      </w:tr>
      <w:tr w:rsidR="003B53E9" w:rsidRPr="003B53E9" w:rsidTr="003B53E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De 350 UVT a 410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90%</w:t>
            </w:r>
          </w:p>
        </w:tc>
      </w:tr>
      <w:tr w:rsidR="003B53E9" w:rsidRPr="003B53E9" w:rsidTr="003B53E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De 410 UVT a 470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80%</w:t>
            </w:r>
          </w:p>
        </w:tc>
      </w:tr>
      <w:tr w:rsidR="003B53E9" w:rsidRPr="003B53E9" w:rsidTr="003B53E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De 470 UVT a 530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60%</w:t>
            </w:r>
          </w:p>
        </w:tc>
      </w:tr>
      <w:tr w:rsidR="003B53E9" w:rsidRPr="003B53E9" w:rsidTr="003B53E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De 530 UVT a 590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40%</w:t>
            </w:r>
          </w:p>
        </w:tc>
      </w:tr>
      <w:tr w:rsidR="003B53E9" w:rsidRPr="003B53E9" w:rsidTr="003B53E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De 590 UVT a 650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20%</w:t>
            </w:r>
          </w:p>
        </w:tc>
      </w:tr>
      <w:tr w:rsidR="003B53E9" w:rsidRPr="003B53E9" w:rsidTr="003B53E9">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De 650 UVT En Adelante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B53E9" w:rsidRPr="003B53E9" w:rsidRDefault="003B53E9" w:rsidP="003B53E9">
            <w:pPr>
              <w:spacing w:after="0" w:line="240" w:lineRule="auto"/>
              <w:jc w:val="center"/>
              <w:rPr>
                <w:rFonts w:eastAsia="Times New Roman" w:cs="Times New Roman"/>
                <w:szCs w:val="24"/>
                <w:lang w:eastAsia="es-CO"/>
              </w:rPr>
            </w:pPr>
            <w:r w:rsidRPr="003B53E9">
              <w:rPr>
                <w:rFonts w:eastAsia="Times New Roman" w:cs="Times New Roman"/>
                <w:i/>
                <w:iCs/>
                <w:szCs w:val="24"/>
                <w:lang w:eastAsia="es-CO"/>
              </w:rPr>
              <w:t>0%</w:t>
            </w:r>
          </w:p>
        </w:tc>
      </w:tr>
    </w:tbl>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i/>
          <w:i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i/>
          <w:i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1.2. Base de retención para aplicación de la tabla de retención mínima del </w:t>
      </w:r>
      <w:hyperlink r:id="rId29" w:tooltip="Estatuto Tributario CETA" w:history="1">
        <w:r w:rsidRPr="003B53E9">
          <w:rPr>
            <w:rFonts w:eastAsia="Times New Roman" w:cs="Times New Roman"/>
            <w:b/>
            <w:bCs/>
            <w:szCs w:val="24"/>
            <w:lang w:eastAsia="es-CO"/>
          </w:rPr>
          <w:t>artículo 384</w:t>
        </w:r>
      </w:hyperlink>
      <w:r w:rsidRPr="003B53E9">
        <w:rPr>
          <w:rFonts w:eastAsia="Times New Roman" w:cs="Times New Roman"/>
          <w:b/>
          <w:bCs/>
          <w:szCs w:val="24"/>
          <w:lang w:eastAsia="es-CO"/>
        </w:rPr>
        <w:t> del Estatuto Tributario:</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Para efectos de determinar la base de la retención en la fuente para empleados, se debe tener en cuenta lo siguiente:</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Dentro de la categoría de empleados se encuentran los que tienen una relación laboral, legal o reglamentaria y los vinculados mediante contrato de prestación de servicios.</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En relación con los empleados que se encuentren vinculados mediante una relación laboral, legal o reglamentaria, la base para la retención en la fuente será la misma que se determina para la aplicación del </w:t>
      </w:r>
      <w:hyperlink r:id="rId30" w:tooltip="Estatuto Tributario CETA" w:history="1">
        <w:r w:rsidRPr="003B53E9">
          <w:rPr>
            <w:rFonts w:eastAsia="Times New Roman" w:cs="Times New Roman"/>
            <w:szCs w:val="24"/>
            <w:lang w:eastAsia="es-CO"/>
          </w:rPr>
          <w:t>artículo 383</w:t>
        </w:r>
      </w:hyperlink>
      <w:r w:rsidRPr="003B53E9">
        <w:rPr>
          <w:rFonts w:eastAsia="Times New Roman" w:cs="Times New Roman"/>
          <w:szCs w:val="24"/>
          <w:lang w:eastAsia="es-CO"/>
        </w:rPr>
        <w:t> del E.T., esto es la prevista en el artículo 2 del Decreto Reglamentario 1070 de 2013.</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Por otro lado, para los empleados vinculados mediante contrato de prestación de servicios, será la determinada en el parágrafo 1 del </w:t>
      </w:r>
      <w:hyperlink r:id="rId31" w:tooltip="Estatuto Tributario CETA" w:history="1">
        <w:r w:rsidRPr="003B53E9">
          <w:rPr>
            <w:rFonts w:eastAsia="Times New Roman" w:cs="Times New Roman"/>
            <w:szCs w:val="24"/>
            <w:lang w:eastAsia="es-CO"/>
          </w:rPr>
          <w:t>artículo 384</w:t>
        </w:r>
      </w:hyperlink>
      <w:r w:rsidRPr="003B53E9">
        <w:rPr>
          <w:rFonts w:eastAsia="Times New Roman" w:cs="Times New Roman"/>
          <w:szCs w:val="24"/>
          <w:lang w:eastAsia="es-CO"/>
        </w:rPr>
        <w:t> así:</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xml:space="preserve">Al total de los pagos o abonos en cuenta mensuales o </w:t>
      </w:r>
      <w:proofErr w:type="spellStart"/>
      <w:r w:rsidRPr="003B53E9">
        <w:rPr>
          <w:rFonts w:eastAsia="Times New Roman" w:cs="Times New Roman"/>
          <w:szCs w:val="24"/>
          <w:lang w:eastAsia="es-CO"/>
        </w:rPr>
        <w:t>mensualizados</w:t>
      </w:r>
      <w:proofErr w:type="spellEnd"/>
      <w:r w:rsidRPr="003B53E9">
        <w:rPr>
          <w:rFonts w:eastAsia="Times New Roman" w:cs="Times New Roman"/>
          <w:szCs w:val="24"/>
          <w:lang w:eastAsia="es-CO"/>
        </w:rPr>
        <w:t xml:space="preserve"> se restan únicamente los aportes obligatorios al sistema general de seguridad social, a saber: salud, pensiones y </w:t>
      </w:r>
      <w:r w:rsidRPr="003B53E9">
        <w:rPr>
          <w:rFonts w:eastAsia="Times New Roman" w:cs="Times New Roman"/>
          <w:szCs w:val="24"/>
          <w:lang w:eastAsia="es-CO"/>
        </w:rPr>
        <w:lastRenderedPageBreak/>
        <w:t>riesgos laborales a cargo del empleado, más los conceptos relacionados en el artículo 6° del Decreto 1070 de 2013. El valor resultante se convierte en UVT y se enfrenta a la tabla contenida en el </w:t>
      </w:r>
      <w:hyperlink r:id="rId32" w:tooltip="Estatuto Tributario CETA" w:history="1">
        <w:r w:rsidRPr="003B53E9">
          <w:rPr>
            <w:rFonts w:eastAsia="Times New Roman" w:cs="Times New Roman"/>
            <w:szCs w:val="24"/>
            <w:lang w:eastAsia="es-CO"/>
          </w:rPr>
          <w:t>artículo 384</w:t>
        </w:r>
      </w:hyperlink>
      <w:r w:rsidRPr="003B53E9">
        <w:rPr>
          <w:rFonts w:eastAsia="Times New Roman" w:cs="Times New Roman"/>
          <w:szCs w:val="24"/>
          <w:lang w:eastAsia="es-CO"/>
        </w:rPr>
        <w:t> del Estatuto Tributario para establecer el monto de la retención en la fuente.</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xml:space="preserve">Lo (sic) anterior interpretación tiene su fundamento en que el parágrafo 1 del artículo citado, hace referencia al pago mensual o </w:t>
      </w:r>
      <w:proofErr w:type="spellStart"/>
      <w:r w:rsidRPr="003B53E9">
        <w:rPr>
          <w:rFonts w:eastAsia="Times New Roman" w:cs="Times New Roman"/>
          <w:szCs w:val="24"/>
          <w:lang w:eastAsia="es-CO"/>
        </w:rPr>
        <w:t>mensualizado</w:t>
      </w:r>
      <w:proofErr w:type="spellEnd"/>
      <w:r w:rsidRPr="003B53E9">
        <w:rPr>
          <w:rFonts w:eastAsia="Times New Roman" w:cs="Times New Roman"/>
          <w:szCs w:val="24"/>
          <w:lang w:eastAsia="es-CO"/>
        </w:rPr>
        <w:t xml:space="preserve"> de contrato, entendiendo éste como el contrato de prestación de servicios.</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En conclusión para el caso que nos ocupa el pago de las cesantías e intereses a las mismas no hacen parte de la base gravable para la aplicación del </w:t>
      </w:r>
      <w:hyperlink r:id="rId33" w:tooltip="Estatuto Tributario CETA" w:history="1">
        <w:r w:rsidRPr="003B53E9">
          <w:rPr>
            <w:rFonts w:eastAsia="Times New Roman" w:cs="Times New Roman"/>
            <w:szCs w:val="24"/>
            <w:lang w:eastAsia="es-CO"/>
          </w:rPr>
          <w:t>artículo 384</w:t>
        </w:r>
      </w:hyperlink>
      <w:r w:rsidRPr="003B53E9">
        <w:rPr>
          <w:rFonts w:eastAsia="Times New Roman" w:cs="Times New Roman"/>
          <w:szCs w:val="24"/>
          <w:lang w:eastAsia="es-CO"/>
        </w:rPr>
        <w:t> del E.T. por cuanto la base será la determinada mediante el procedimiento previsto en el artículo 2 del Decreto 1070 de 2013 antes explicado.</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Atentamente,</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 </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b/>
          <w:bCs/>
          <w:szCs w:val="24"/>
          <w:lang w:eastAsia="es-CO"/>
        </w:rPr>
        <w:t>YUMER YOEL AGUILAR VARGAS</w:t>
      </w:r>
    </w:p>
    <w:p w:rsidR="003B53E9" w:rsidRPr="003B53E9" w:rsidRDefault="003B53E9" w:rsidP="003B53E9">
      <w:pPr>
        <w:spacing w:after="0" w:line="240" w:lineRule="auto"/>
        <w:jc w:val="both"/>
        <w:rPr>
          <w:rFonts w:eastAsia="Times New Roman" w:cs="Times New Roman"/>
          <w:szCs w:val="24"/>
          <w:lang w:eastAsia="es-CO"/>
        </w:rPr>
      </w:pPr>
      <w:r w:rsidRPr="003B53E9">
        <w:rPr>
          <w:rFonts w:eastAsia="Times New Roman" w:cs="Times New Roman"/>
          <w:szCs w:val="24"/>
          <w:lang w:eastAsia="es-CO"/>
        </w:rPr>
        <w:t>Subdirector de Gestión Normativa y Doctrina</w:t>
      </w:r>
    </w:p>
    <w:p w:rsidR="003B53E9" w:rsidRPr="003B53E9" w:rsidRDefault="003B53E9" w:rsidP="003B53E9">
      <w:pPr>
        <w:spacing w:after="285" w:line="240" w:lineRule="auto"/>
        <w:jc w:val="both"/>
        <w:rPr>
          <w:rFonts w:eastAsia="Times New Roman" w:cs="Times New Roman"/>
          <w:szCs w:val="24"/>
          <w:lang w:eastAsia="es-CO"/>
        </w:rPr>
      </w:pPr>
      <w:r w:rsidRPr="003B53E9">
        <w:rPr>
          <w:rFonts w:eastAsia="Times New Roman" w:cs="Times New Roman"/>
          <w:szCs w:val="24"/>
          <w:lang w:eastAsia="es-CO"/>
        </w:rPr>
        <w:t> </w:t>
      </w:r>
      <w:r w:rsidR="000E647F">
        <w:rPr>
          <w:rFonts w:eastAsia="Times New Roman" w:cs="Times New Roman"/>
          <w:szCs w:val="24"/>
          <w:lang w:eastAsia="es-CO"/>
        </w:rPr>
        <w:t>________________________________________________________________________</w:t>
      </w:r>
    </w:p>
    <w:p w:rsidR="003B53E9" w:rsidRPr="003B53E9" w:rsidRDefault="003B53E9" w:rsidP="00604DB8">
      <w:pPr>
        <w:spacing w:after="285" w:line="240" w:lineRule="auto"/>
        <w:jc w:val="both"/>
        <w:rPr>
          <w:rFonts w:eastAsia="Times New Roman" w:cs="Times New Roman"/>
          <w:szCs w:val="24"/>
          <w:lang w:eastAsia="es-CO"/>
        </w:rPr>
      </w:pPr>
    </w:p>
    <w:p w:rsidR="003B53E9" w:rsidRPr="00604DB8" w:rsidRDefault="003B53E9" w:rsidP="00604DB8">
      <w:pPr>
        <w:spacing w:after="285" w:line="240" w:lineRule="auto"/>
        <w:jc w:val="both"/>
        <w:rPr>
          <w:rFonts w:eastAsia="Times New Roman" w:cs="Times New Roman"/>
          <w:szCs w:val="24"/>
          <w:lang w:eastAsia="es-CO"/>
        </w:rPr>
      </w:pPr>
    </w:p>
    <w:p w:rsidR="00961BFA" w:rsidRPr="00604DB8" w:rsidRDefault="00961BFA">
      <w:pPr>
        <w:rPr>
          <w:rFonts w:cs="Times New Roman"/>
          <w:szCs w:val="24"/>
        </w:rPr>
      </w:pPr>
    </w:p>
    <w:sectPr w:rsidR="00961BFA" w:rsidRPr="00604DB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B8"/>
    <w:rsid w:val="000E647F"/>
    <w:rsid w:val="0029351E"/>
    <w:rsid w:val="003B53E9"/>
    <w:rsid w:val="0047434F"/>
    <w:rsid w:val="00604DB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24E7-39CB-4941-B334-6914B279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05507">
      <w:bodyDiv w:val="1"/>
      <w:marLeft w:val="0"/>
      <w:marRight w:val="0"/>
      <w:marTop w:val="0"/>
      <w:marBottom w:val="0"/>
      <w:divBdr>
        <w:top w:val="none" w:sz="0" w:space="0" w:color="auto"/>
        <w:left w:val="none" w:sz="0" w:space="0" w:color="auto"/>
        <w:bottom w:val="none" w:sz="0" w:space="0" w:color="auto"/>
        <w:right w:val="none" w:sz="0" w:space="0" w:color="auto"/>
      </w:divBdr>
    </w:div>
    <w:div w:id="9959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272" TargetMode="External"/><Relationship Id="rId26" Type="http://schemas.openxmlformats.org/officeDocument/2006/relationships/hyperlink" Target="http://www.ceta.org.co/html/vista_de_un_articulo.asp?Norma=480"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476" TargetMode="External"/><Relationship Id="rId34" Type="http://schemas.openxmlformats.org/officeDocument/2006/relationships/fontTable" Target="fontTable.xml"/><Relationship Id="rId7" Type="http://schemas.openxmlformats.org/officeDocument/2006/relationships/hyperlink" Target="http://www.ceta.org.co/html/vista_de_un_articulo.asp?Norma=477" TargetMode="External"/><Relationship Id="rId12" Type="http://schemas.openxmlformats.org/officeDocument/2006/relationships/hyperlink" Target="http://www.ceta.org.co/html/vista_de_un_articulo.asp?Norma=480" TargetMode="External"/><Relationship Id="rId17" Type="http://schemas.openxmlformats.org/officeDocument/2006/relationships/hyperlink" Target="http://www.ceta.org.co/html/vista_de_un_articulo.asp?Norma=477" TargetMode="External"/><Relationship Id="rId25" Type="http://schemas.openxmlformats.org/officeDocument/2006/relationships/hyperlink" Target="http://www.ceta.org.co/html/vista_de_un_articulo.asp?Norma=476" TargetMode="External"/><Relationship Id="rId33" Type="http://schemas.openxmlformats.org/officeDocument/2006/relationships/hyperlink" Target="http://www.ceta.org.co/html/vista_de_un_articulo.asp?Norma=477" TargetMode="External"/><Relationship Id="rId2" Type="http://schemas.openxmlformats.org/officeDocument/2006/relationships/settings" Target="settings.xml"/><Relationship Id="rId1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272" TargetMode="External"/><Relationship Id="rId29" Type="http://schemas.openxmlformats.org/officeDocument/2006/relationships/hyperlink" Target="http://www.ceta.org.co/html/vista_de_un_articulo.asp?Norma=477" TargetMode="External"/><Relationship Id="rId1" Type="http://schemas.openxmlformats.org/officeDocument/2006/relationships/styles" Target="styles.xml"/><Relationship Id="rId6" Type="http://schemas.openxmlformats.org/officeDocument/2006/relationships/hyperlink" Target="http://www.ceta.org.co/html/vista_de_un_articulo.asp?Norma=476" TargetMode="External"/><Relationship Id="rId11" Type="http://schemas.openxmlformats.org/officeDocument/2006/relationships/hyperlink" Target="http://www.ceta.org.co/html/vista_de_un_articulo.asp?Norma=476" TargetMode="External"/><Relationship Id="rId24" Type="http://schemas.openxmlformats.org/officeDocument/2006/relationships/hyperlink" Target="http://www.ceta.org.co/html/vista_de_un_articulo.asp?Norma=476" TargetMode="External"/><Relationship Id="rId32" Type="http://schemas.openxmlformats.org/officeDocument/2006/relationships/hyperlink" Target="http://www.ceta.org.co/html/vista_de_un_articulo.asp?Norma=477" TargetMode="External"/><Relationship Id="rId5" Type="http://schemas.openxmlformats.org/officeDocument/2006/relationships/hyperlink" Target="http://www.ceta.org.co/html/vista_de_un_articulo.asp?Norma=477" TargetMode="External"/><Relationship Id="rId15" Type="http://schemas.openxmlformats.org/officeDocument/2006/relationships/hyperlink" Target="http://www.ceta.org.co/html/vista_de_un_articulo.asp?Norma=477"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476" TargetMode="External"/><Relationship Id="rId19" Type="http://schemas.openxmlformats.org/officeDocument/2006/relationships/hyperlink" Target="http://www.ceta.org.co/html/vista_de_un_articulo.asp?Norma=408" TargetMode="External"/><Relationship Id="rId31" Type="http://schemas.openxmlformats.org/officeDocument/2006/relationships/hyperlink" Target="http://www.ceta.org.co/html/vista_de_un_articulo.asp?Norma=477" TargetMode="External"/><Relationship Id="rId4" Type="http://schemas.openxmlformats.org/officeDocument/2006/relationships/hyperlink" Target="http://www.ceta.org.co/html/vista_de_un_articulo.asp?Norma=476" TargetMode="Externa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7" TargetMode="External"/><Relationship Id="rId27" Type="http://schemas.openxmlformats.org/officeDocument/2006/relationships/hyperlink" Target="http://www.ceta.org.co/html/vista_de_un_articulo.asp?Norma=272" TargetMode="External"/><Relationship Id="rId30" Type="http://schemas.openxmlformats.org/officeDocument/2006/relationships/hyperlink" Target="http://www.ceta.org.co/html/vista_de_un_articulo.asp?Norma=476" TargetMode="External"/><Relationship Id="rId35" Type="http://schemas.openxmlformats.org/officeDocument/2006/relationships/theme" Target="theme/theme1.xml"/><Relationship Id="rId8" Type="http://schemas.openxmlformats.org/officeDocument/2006/relationships/hyperlink" Target="http://www.ceta.org.co/html/vista_de_un_articulo.asp?Norma=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2135</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2015-04-25T01:55:00Z</dcterms:created>
  <dcterms:modified xsi:type="dcterms:W3CDTF">2015-05-24T21:23:00Z</dcterms:modified>
</cp:coreProperties>
</file>